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3227" w:rsidRDefault="00753227" w:rsidP="00753227">
      <w:pPr>
        <w:jc w:val="center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>Guía de estudio para el</w:t>
      </w:r>
      <w:r w:rsidRPr="00AA098A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 xml:space="preserve"> examen de conocimientos del </w:t>
      </w: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>C</w:t>
      </w:r>
      <w:r w:rsidRPr="00AA098A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 xml:space="preserve">oncurso de </w:t>
      </w: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>O</w:t>
      </w:r>
      <w:r w:rsidRPr="00AA098A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 xml:space="preserve">posición </w:t>
      </w: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>A</w:t>
      </w:r>
      <w:r w:rsidRPr="00AA098A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 xml:space="preserve">bierto para seleccionar </w:t>
      </w: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>P</w:t>
      </w:r>
      <w:r w:rsidRPr="00AA098A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 xml:space="preserve">ersonal </w:t>
      </w: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>E</w:t>
      </w:r>
      <w:r w:rsidRPr="00AA098A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  <w:t>ventual para Educación Cívica</w:t>
      </w:r>
    </w:p>
    <w:p w:rsidR="00753227" w:rsidRDefault="00753227" w:rsidP="00753227">
      <w:pPr>
        <w:jc w:val="center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s-ES_tradnl"/>
        </w:rPr>
      </w:pPr>
    </w:p>
    <w:tbl>
      <w:tblPr>
        <w:tblStyle w:val="Tabladelista3-nfasis3"/>
        <w:tblW w:w="0" w:type="auto"/>
        <w:tblBorders>
          <w:insideH w:val="single" w:sz="6" w:space="0" w:color="A5A5A5" w:themeColor="accent3"/>
          <w:insideV w:val="single" w:sz="6" w:space="0" w:color="A5A5A5" w:themeColor="accent3"/>
        </w:tblBorders>
        <w:tblLook w:val="04A0" w:firstRow="1" w:lastRow="0" w:firstColumn="1" w:lastColumn="0" w:noHBand="0" w:noVBand="1"/>
      </w:tblPr>
      <w:tblGrid>
        <w:gridCol w:w="2497"/>
        <w:gridCol w:w="2517"/>
        <w:gridCol w:w="3814"/>
      </w:tblGrid>
      <w:tr w:rsidR="00753227" w:rsidRPr="00FB3CB6" w:rsidTr="00890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jc w:val="center"/>
              <w:rPr>
                <w:rFonts w:ascii="Arial" w:hAnsi="Arial" w:cs="Arial"/>
                <w:color w:val="FFFFFF"/>
                <w:szCs w:val="18"/>
                <w:lang w:val="es-MX" w:eastAsia="es-MX"/>
              </w:rPr>
            </w:pPr>
            <w:r w:rsidRPr="00FB3CB6">
              <w:rPr>
                <w:rFonts w:ascii="Arial" w:hAnsi="Arial" w:cs="Arial"/>
                <w:color w:val="FFFFFF"/>
                <w:szCs w:val="18"/>
                <w:lang w:val="es-MX" w:eastAsia="es-MX"/>
              </w:rPr>
              <w:t>Documento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/>
                <w:szCs w:val="18"/>
                <w:lang w:val="es-MX" w:eastAsia="es-MX"/>
              </w:rPr>
            </w:pPr>
            <w:r w:rsidRPr="00FB3CB6">
              <w:rPr>
                <w:rFonts w:ascii="Arial" w:hAnsi="Arial" w:cs="Arial"/>
                <w:color w:val="FFFFFF"/>
                <w:szCs w:val="18"/>
                <w:lang w:val="es-MX" w:eastAsia="es-MX"/>
              </w:rPr>
              <w:t>Área/Título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/>
                <w:szCs w:val="18"/>
                <w:lang w:val="es-MX" w:eastAsia="es-MX"/>
              </w:rPr>
            </w:pPr>
            <w:r w:rsidRPr="00FB3CB6">
              <w:rPr>
                <w:rFonts w:ascii="Arial" w:hAnsi="Arial" w:cs="Arial"/>
                <w:color w:val="FFFFFF"/>
                <w:szCs w:val="18"/>
                <w:lang w:val="es-MX" w:eastAsia="es-MX"/>
              </w:rPr>
              <w:t>Tema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Constitución Política de los Estados Unidos Mexicanos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Régimen político electoral en México.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Atribuciones del INE </w:t>
            </w:r>
          </w:p>
        </w:tc>
      </w:tr>
      <w:tr w:rsidR="00753227" w:rsidRPr="00FB3CB6" w:rsidTr="00890A79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Organismos públicos locales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Ley General de Instituciones y Procedimientos Electorales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Atribuciones de los Organismos Públicos Locales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atribuciones de los OPLES en materia de educación cívica</w:t>
            </w:r>
          </w:p>
        </w:tc>
      </w:tr>
      <w:tr w:rsidR="00753227" w:rsidRPr="00FB3CB6" w:rsidTr="00890A79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Constitución Política de la Ciudad de México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De los Derechos Humanos 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Ciudad democrática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De la democracia directa, participativa y representativa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Democracia participativa</w:t>
            </w:r>
          </w:p>
        </w:tc>
      </w:tr>
      <w:tr w:rsidR="00753227" w:rsidRPr="00FB3CB6" w:rsidTr="00890A79">
        <w:trPr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Democracia representativa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De los organismos autónomos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Instituto Electoral de la Ciudad de México</w:t>
            </w:r>
          </w:p>
        </w:tc>
      </w:tr>
      <w:tr w:rsidR="00753227" w:rsidRPr="00FB3CB6" w:rsidTr="00890A7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Código de Instituciones y Procedimientos Electorales de la Ciudad de México</w:t>
            </w:r>
          </w:p>
        </w:tc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Del Instituto Electoral de la Ciudad de México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Integración, fines, acciones y atribuciones del IECM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D9D9" w:themeFill="background1" w:themeFillShade="D9"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center"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Atribuciones de la Dirección Ejecutiva de Educación Cívica y Construcción de 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Ciudadanía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 </w:t>
            </w:r>
          </w:p>
        </w:tc>
      </w:tr>
      <w:tr w:rsidR="00753227" w:rsidRPr="00FB3CB6" w:rsidTr="00890A79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D9D9" w:themeFill="background1" w:themeFillShade="D9"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center"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Integración y atribuciones de las Direcciones Distritales del IECM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Estrategia Nacional de Cultura Cívica 2017-2023 Versión ejecutiva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Datos de contexto: población, desigualdad social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y aprecio por la democracia en México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Datos de contexto: población, desigualdad social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y aprecio por la democracia en México</w:t>
            </w:r>
          </w:p>
        </w:tc>
      </w:tr>
      <w:tr w:rsidR="00753227" w:rsidRPr="00FB3CB6" w:rsidTr="00890A79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Marco conceptual: nociones básicas y componentes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para la definición del problema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Un punto de partida: El desencanto con la democracia.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Trazos de su desarrollo histórico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Las nociones básicas y el enfoque de política pública</w:t>
            </w:r>
          </w:p>
        </w:tc>
      </w:tr>
      <w:tr w:rsidR="00753227" w:rsidRPr="00FB3CB6" w:rsidTr="00890A79">
        <w:trPr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Estrategia Integral de Educación Cívica para la Ciudad de México 2017-2023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Marco contextual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Contexto local y antecedentes del trabajo en materia de educación cívica.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D9D9" w:themeFill="background1" w:themeFillShade="D9"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Estructura de la EI1723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Macroactividades</w:t>
            </w:r>
            <w:proofErr w:type="spellEnd"/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 por eje </w:t>
            </w:r>
          </w:p>
        </w:tc>
      </w:tr>
      <w:tr w:rsidR="00753227" w:rsidRPr="00FB3CB6" w:rsidTr="00890A79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D9D9" w:themeFill="background1" w:themeFillShade="D9"/>
            <w:vAlign w:val="center"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center"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Alianzas interinstitucionales y transversalidad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Manual para la formación ciudadana de jóvenes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Consideraciones Generales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Enfoque 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psicopedagógico; p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apel del promotor comunitario en el desarrollo de los talleres, y 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p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apel de los participantes en los talleres.</w:t>
            </w:r>
          </w:p>
        </w:tc>
      </w:tr>
      <w:tr w:rsidR="00753227" w:rsidRPr="00FB3CB6" w:rsidTr="00890A79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Manual para la participación ciudadana de las mujeres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Modelo de Formación Ciudadana para Mujeres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Papel de los promotores de educación cívica; 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p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erfil psico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lógico de las mujeres adultas; p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edagogía para la formación ciudadana; 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c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onstructivismo y aprendizaje significativo.</w:t>
            </w:r>
          </w:p>
        </w:tc>
      </w:tr>
      <w:tr w:rsidR="00753227" w:rsidRPr="00FB3CB6" w:rsidTr="00890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La Consulta para niñas, niños y adolescentes 2017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Protocolo de actuación para responsables de las mesas receptoras de expresión</w:t>
            </w: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Principio rector; conceptos clave; c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ompromisos básicos de actuación</w:t>
            </w:r>
          </w:p>
        </w:tc>
      </w:tr>
      <w:tr w:rsidR="00753227" w:rsidRPr="00FB3CB6" w:rsidTr="00890A79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:rsidR="00753227" w:rsidRPr="00FB3CB6" w:rsidRDefault="00753227" w:rsidP="00890A79">
            <w:pPr>
              <w:contextualSpacing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753227" w:rsidRPr="00FB3CB6" w:rsidRDefault="00753227" w:rsidP="00890A79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</w:pP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Reglas específicas de actuación para brindar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 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un trato dig</w:t>
            </w:r>
            <w:r w:rsidRPr="00D14A37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 xml:space="preserve">no y democrático a niñas, niños </w:t>
            </w:r>
            <w:r w:rsidRPr="00FB3CB6">
              <w:rPr>
                <w:rFonts w:ascii="Arial Narrow" w:hAnsi="Arial Narrow"/>
                <w:color w:val="000000"/>
                <w:sz w:val="20"/>
                <w:szCs w:val="20"/>
                <w:lang w:val="es-MX" w:eastAsia="es-MX"/>
              </w:rPr>
              <w:t>y adolescentes que participen en la jornada consultiva</w:t>
            </w:r>
          </w:p>
        </w:tc>
      </w:tr>
    </w:tbl>
    <w:p w:rsidR="00753227" w:rsidRDefault="00753227">
      <w:bookmarkStart w:id="0" w:name="_GoBack"/>
      <w:bookmarkEnd w:id="0"/>
    </w:p>
    <w:sectPr w:rsidR="007532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227"/>
    <w:rsid w:val="0075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1AAD3"/>
  <w15:chartTrackingRefBased/>
  <w15:docId w15:val="{65760815-1E91-4F3F-BA83-FBF12F4C5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532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delista3-nfasis3">
    <w:name w:val="List Table 3 Accent 3"/>
    <w:basedOn w:val="Tablanormal"/>
    <w:uiPriority w:val="48"/>
    <w:rsid w:val="00753227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408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Angélica Vaquero Betancourt</dc:creator>
  <cp:keywords/>
  <dc:description/>
  <cp:lastModifiedBy>Alma Angélica Vaquero Betancourt</cp:lastModifiedBy>
  <cp:revision>2</cp:revision>
  <dcterms:created xsi:type="dcterms:W3CDTF">2018-03-01T21:10:00Z</dcterms:created>
  <dcterms:modified xsi:type="dcterms:W3CDTF">2018-03-01T21:10:00Z</dcterms:modified>
</cp:coreProperties>
</file>